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C18E8" w14:textId="0BFE55A0" w:rsidR="00CF79E9" w:rsidRPr="00B02031" w:rsidRDefault="007F09D4" w:rsidP="0068641C">
      <w:pPr>
        <w:snapToGrid w:val="0"/>
        <w:spacing w:afterLines="50" w:after="180" w:line="520" w:lineRule="exact"/>
        <w:ind w:leftChars="-59" w:left="-142" w:rightChars="-100" w:right="-240"/>
        <w:jc w:val="both"/>
        <w:rPr>
          <w:rFonts w:ascii="標楷體" w:eastAsia="標楷體"/>
          <w:bCs/>
          <w:color w:val="000000"/>
          <w:sz w:val="36"/>
          <w:szCs w:val="36"/>
        </w:rPr>
      </w:pPr>
      <w:r w:rsidRPr="00B02031">
        <w:rPr>
          <w:rFonts w:ascii="Times New Roman" w:eastAsia="標楷體" w:hAnsi="Times New Roman" w:cs="Times New Roman"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989F74" wp14:editId="64E3D8FD">
                <wp:simplePos x="0" y="0"/>
                <wp:positionH relativeFrom="margin">
                  <wp:align>left</wp:align>
                </wp:positionH>
                <wp:positionV relativeFrom="paragraph">
                  <wp:posOffset>-350874</wp:posOffset>
                </wp:positionV>
                <wp:extent cx="771276" cy="1404620"/>
                <wp:effectExtent l="0" t="0" r="1016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2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BE7ED" w14:textId="52B7DC44" w:rsidR="007F09D4" w:rsidRPr="00183A34" w:rsidRDefault="007F09D4" w:rsidP="007F09D4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83A3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="00B02031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989F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7.65pt;width:60.7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">
                <v:textbox style="mso-fit-shape-to-text:t">
                  <w:txbxContent>
                    <w:p w14:paraId="624BE7ED" w14:textId="52B7DC44" w:rsidR="007F09D4" w:rsidRPr="00183A34" w:rsidRDefault="007F09D4" w:rsidP="007F09D4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183A34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 w:rsidR="00B02031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9E9" w:rsidRPr="00B02031">
        <w:rPr>
          <w:rFonts w:ascii="標楷體" w:eastAsia="標楷體" w:hint="eastAsia"/>
          <w:bCs/>
          <w:color w:val="000000"/>
          <w:sz w:val="36"/>
          <w:szCs w:val="36"/>
        </w:rPr>
        <w:t>中華民國證券商業同業公會「</w:t>
      </w:r>
      <w:r w:rsidR="00D34689" w:rsidRPr="00B02031">
        <w:rPr>
          <w:rFonts w:ascii="標楷體" w:eastAsia="標楷體" w:hint="eastAsia"/>
          <w:bCs/>
          <w:color w:val="000000"/>
          <w:sz w:val="36"/>
          <w:szCs w:val="36"/>
        </w:rPr>
        <w:t>承銷商辦理初次上市（櫃）案件承銷作業應行注意事項要點</w:t>
      </w:r>
      <w:r w:rsidR="00CF79E9" w:rsidRPr="00B02031">
        <w:rPr>
          <w:rFonts w:ascii="Times New Roman" w:eastAsia="標楷體" w:hAnsi="Times New Roman" w:cs="Times New Roman"/>
          <w:bCs/>
          <w:color w:val="000000"/>
          <w:sz w:val="36"/>
          <w:szCs w:val="36"/>
        </w:rPr>
        <w:t>」</w:t>
      </w:r>
      <w:r w:rsidR="00D0062E" w:rsidRPr="00B02031">
        <w:rPr>
          <w:rFonts w:ascii="Times New Roman" w:eastAsia="標楷體" w:hAnsi="Times New Roman" w:cs="Times New Roman"/>
          <w:bCs/>
          <w:color w:val="000000"/>
          <w:sz w:val="36"/>
          <w:szCs w:val="36"/>
        </w:rPr>
        <w:t>第</w:t>
      </w:r>
      <w:r w:rsidR="002F5D1E" w:rsidRPr="00B02031">
        <w:rPr>
          <w:rFonts w:ascii="Times New Roman" w:eastAsia="標楷體" w:hAnsi="Times New Roman" w:cs="Times New Roman" w:hint="eastAsia"/>
          <w:bCs/>
          <w:color w:val="000000"/>
          <w:sz w:val="36"/>
          <w:szCs w:val="36"/>
        </w:rPr>
        <w:t>八</w:t>
      </w:r>
      <w:r w:rsidR="00D34689" w:rsidRPr="00B02031">
        <w:rPr>
          <w:rFonts w:ascii="Times New Roman" w:eastAsia="標楷體" w:hAnsi="Times New Roman" w:cs="Times New Roman" w:hint="eastAsia"/>
          <w:bCs/>
          <w:color w:val="000000"/>
          <w:sz w:val="36"/>
          <w:szCs w:val="36"/>
        </w:rPr>
        <w:t>點之</w:t>
      </w:r>
      <w:proofErr w:type="gramStart"/>
      <w:r w:rsidR="002F5D1E" w:rsidRPr="00B02031">
        <w:rPr>
          <w:rFonts w:ascii="Times New Roman" w:eastAsia="標楷體" w:hAnsi="Times New Roman" w:cs="Times New Roman" w:hint="eastAsia"/>
          <w:bCs/>
          <w:color w:val="000000"/>
          <w:sz w:val="36"/>
          <w:szCs w:val="36"/>
        </w:rPr>
        <w:t>一</w:t>
      </w:r>
      <w:proofErr w:type="gramEnd"/>
      <w:r w:rsidR="00D34689" w:rsidRPr="00B02031">
        <w:rPr>
          <w:rFonts w:ascii="Times New Roman" w:eastAsia="標楷體" w:hAnsi="Times New Roman" w:cs="Times New Roman" w:hint="eastAsia"/>
          <w:bCs/>
          <w:color w:val="000000"/>
          <w:sz w:val="36"/>
          <w:szCs w:val="36"/>
        </w:rPr>
        <w:t>修</w:t>
      </w:r>
      <w:r w:rsidR="00CF79E9" w:rsidRPr="00B02031">
        <w:rPr>
          <w:rFonts w:ascii="Times New Roman" w:eastAsia="標楷體" w:hAnsi="Times New Roman" w:cs="Times New Roman"/>
          <w:bCs/>
          <w:color w:val="000000"/>
          <w:sz w:val="36"/>
          <w:szCs w:val="36"/>
        </w:rPr>
        <w:t>正條文對照表</w:t>
      </w:r>
    </w:p>
    <w:tbl>
      <w:tblPr>
        <w:tblStyle w:val="a5"/>
        <w:tblW w:w="8719" w:type="dxa"/>
        <w:jc w:val="center"/>
        <w:tblLook w:val="04A0" w:firstRow="1" w:lastRow="0" w:firstColumn="1" w:lastColumn="0" w:noHBand="0" w:noVBand="1"/>
      </w:tblPr>
      <w:tblGrid>
        <w:gridCol w:w="2906"/>
        <w:gridCol w:w="2906"/>
        <w:gridCol w:w="2907"/>
      </w:tblGrid>
      <w:tr w:rsidR="00CF79E9" w:rsidRPr="00025F43" w14:paraId="2F0CE33F" w14:textId="77777777" w:rsidTr="00D34689">
        <w:trPr>
          <w:trHeight w:val="476"/>
          <w:jc w:val="center"/>
        </w:trPr>
        <w:tc>
          <w:tcPr>
            <w:tcW w:w="2906" w:type="dxa"/>
            <w:vAlign w:val="center"/>
          </w:tcPr>
          <w:p w14:paraId="3FE0CBBA" w14:textId="77777777" w:rsidR="00CF79E9" w:rsidRPr="00B02031" w:rsidRDefault="00CF79E9" w:rsidP="00D11F5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修正條文</w:t>
            </w:r>
          </w:p>
        </w:tc>
        <w:tc>
          <w:tcPr>
            <w:tcW w:w="2906" w:type="dxa"/>
            <w:vAlign w:val="center"/>
          </w:tcPr>
          <w:p w14:paraId="2DF48838" w14:textId="77777777" w:rsidR="00CF79E9" w:rsidRPr="00B02031" w:rsidRDefault="00CF79E9" w:rsidP="00D11F5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現行條文</w:t>
            </w:r>
          </w:p>
        </w:tc>
        <w:tc>
          <w:tcPr>
            <w:tcW w:w="2907" w:type="dxa"/>
            <w:vAlign w:val="center"/>
          </w:tcPr>
          <w:p w14:paraId="191AAA88" w14:textId="77777777" w:rsidR="00CF79E9" w:rsidRPr="00B02031" w:rsidRDefault="00CF79E9" w:rsidP="00D11F5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D34689" w:rsidRPr="00025F43" w14:paraId="46E2E134" w14:textId="77777777" w:rsidTr="004819CB">
        <w:trPr>
          <w:trHeight w:val="176"/>
          <w:jc w:val="center"/>
        </w:trPr>
        <w:tc>
          <w:tcPr>
            <w:tcW w:w="2906" w:type="dxa"/>
          </w:tcPr>
          <w:p w14:paraId="556D701B" w14:textId="38A1CFD6" w:rsidR="00D34689" w:rsidRPr="00B02031" w:rsidRDefault="00D34689" w:rsidP="00D34689">
            <w:pPr>
              <w:spacing w:beforeLines="20" w:before="72"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八之一、 </w:t>
            </w:r>
            <w:r w:rsidRPr="00B020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主辦承銷商應於初次上市(櫃)案件、</w:t>
            </w:r>
            <w:r w:rsidR="00D07086" w:rsidRPr="00B0203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  <w:u w:val="single"/>
              </w:rPr>
              <w:t>創新板初次上市案件、</w:t>
            </w: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臺灣存託憑證初次發行案件掛牌日起第七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營業日，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彙整主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、協辦承銷商獲配售人之圈購資料(包括匯款銀行及帳戶)提供予證交所及櫃買中心建檔。</w:t>
            </w:r>
          </w:p>
          <w:p w14:paraId="62729C77" w14:textId="62857EC0" w:rsidR="00D34689" w:rsidRPr="00B02031" w:rsidRDefault="00D34689" w:rsidP="00D34689">
            <w:pPr>
              <w:spacing w:beforeLines="20" w:before="72" w:line="400" w:lineRule="exact"/>
              <w:ind w:firstLineChars="200" w:firstLine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主、協辦承銷商應就初次上市(櫃)案件</w:t>
            </w:r>
            <w:r w:rsidR="00740274"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740274" w:rsidRPr="00B02031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zCs w:val="24"/>
                <w:u w:val="single"/>
              </w:rPr>
              <w:t>創新板初次上市案件</w:t>
            </w: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依下列獲配售對象之配售筆數、張數及配售比率，由主辦承銷商於掛牌日起第七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營業日彙整向本公會申報並揭露於本公會網站:</w:t>
            </w:r>
          </w:p>
          <w:p w14:paraId="61E96735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)本國專業投資機構</w:t>
            </w:r>
          </w:p>
          <w:p w14:paraId="52293E42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(二)外國專業投資機構。</w:t>
            </w:r>
          </w:p>
          <w:p w14:paraId="13465A4C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(三)本國一般法人。</w:t>
            </w:r>
          </w:p>
          <w:p w14:paraId="0D02D3CE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(四)外國一般法人。</w:t>
            </w:r>
          </w:p>
          <w:p w14:paraId="4084302C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(五)本國自然人。</w:t>
            </w:r>
          </w:p>
          <w:p w14:paraId="5F23DFEF" w14:textId="2A38D384" w:rsidR="00D34689" w:rsidRPr="00B02031" w:rsidRDefault="00D34689" w:rsidP="00D34689">
            <w:pPr>
              <w:spacing w:beforeLines="20" w:before="72"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(六)華僑及外國自然人。</w:t>
            </w:r>
          </w:p>
        </w:tc>
        <w:tc>
          <w:tcPr>
            <w:tcW w:w="2906" w:type="dxa"/>
          </w:tcPr>
          <w:p w14:paraId="79F43685" w14:textId="32AF0BA1" w:rsidR="00D34689" w:rsidRPr="00B02031" w:rsidRDefault="00D34689" w:rsidP="00D34689">
            <w:pPr>
              <w:spacing w:beforeLines="20" w:before="72"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八之一、 </w:t>
            </w:r>
            <w:r w:rsidRPr="00B0203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主辦承銷商應於初次上市(櫃)案件、臺灣存託憑證初次發行案件掛牌日起第七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營業日，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彙整主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、協辦承銷商獲配售人之圈購資料(包括匯款銀行及帳戶)提供予證交所及櫃買中心建檔。</w:t>
            </w:r>
          </w:p>
          <w:p w14:paraId="28DC87BA" w14:textId="77777777" w:rsidR="00D34689" w:rsidRPr="00B02031" w:rsidRDefault="00D34689" w:rsidP="00D34689">
            <w:pPr>
              <w:spacing w:beforeLines="20" w:before="72" w:line="400" w:lineRule="exact"/>
              <w:ind w:firstLineChars="200" w:firstLine="48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主、協辦承銷商應就初次上市(櫃)案件依下列獲配售對象之配售筆數、張數及配售比率，由主辦承銷商於掛牌日起第七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個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營業日彙整向本公會申報並揭露於本公會網站:</w:t>
            </w:r>
          </w:p>
          <w:p w14:paraId="2F4FA457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proofErr w:type="gramStart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</w:t>
            </w:r>
            <w:proofErr w:type="gramEnd"/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)本國專業投資機構</w:t>
            </w:r>
          </w:p>
          <w:p w14:paraId="1D60792C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(二)外國專業投資機構。</w:t>
            </w:r>
          </w:p>
          <w:p w14:paraId="19153F1D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(三)本國一般法人。</w:t>
            </w:r>
          </w:p>
          <w:p w14:paraId="5F2302DE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(四)外國一般法人。</w:t>
            </w:r>
          </w:p>
          <w:p w14:paraId="5D31D57D" w14:textId="77777777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(五)本國自然人。</w:t>
            </w:r>
          </w:p>
          <w:p w14:paraId="7E52C51D" w14:textId="7A5F9A0B" w:rsidR="00D34689" w:rsidRPr="00B02031" w:rsidRDefault="00D34689" w:rsidP="00D34689">
            <w:pPr>
              <w:spacing w:beforeLines="20" w:before="72" w:line="400" w:lineRule="exact"/>
              <w:ind w:left="60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(六)華僑及外國自然人。</w:t>
            </w:r>
          </w:p>
        </w:tc>
        <w:tc>
          <w:tcPr>
            <w:tcW w:w="2907" w:type="dxa"/>
          </w:tcPr>
          <w:p w14:paraId="4860DBF3" w14:textId="062578AB" w:rsidR="00D34689" w:rsidRPr="00B02031" w:rsidRDefault="00D07086" w:rsidP="00D34689">
            <w:pPr>
              <w:spacing w:beforeLines="20" w:before="72"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0203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為強化監理，增訂主辦承銷商應於創新板初次上市案件掛牌日起第七個營業日，提供主協辦配售名單予證交所建檔，並向本公會申報配售比例。</w:t>
            </w:r>
          </w:p>
        </w:tc>
      </w:tr>
    </w:tbl>
    <w:p w14:paraId="2310A098" w14:textId="77777777" w:rsidR="008A3297" w:rsidRPr="00CF79E9" w:rsidRDefault="008A3297"/>
    <w:sectPr w:rsidR="008A3297" w:rsidRPr="00CF79E9" w:rsidSect="007A3B2C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268A" w14:textId="77777777" w:rsidR="001F6DB2" w:rsidRDefault="001F6DB2" w:rsidP="00A15F84">
      <w:r>
        <w:separator/>
      </w:r>
    </w:p>
  </w:endnote>
  <w:endnote w:type="continuationSeparator" w:id="0">
    <w:p w14:paraId="23C27633" w14:textId="77777777" w:rsidR="001F6DB2" w:rsidRDefault="001F6DB2" w:rsidP="00A1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3993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E5850A1" w14:textId="5B784546" w:rsidR="00B0575D" w:rsidRPr="00B0575D" w:rsidRDefault="00B0575D">
        <w:pPr>
          <w:pStyle w:val="a8"/>
          <w:jc w:val="center"/>
          <w:rPr>
            <w:sz w:val="24"/>
            <w:szCs w:val="24"/>
          </w:rPr>
        </w:pPr>
        <w:r w:rsidRPr="00B0575D">
          <w:rPr>
            <w:sz w:val="24"/>
            <w:szCs w:val="24"/>
          </w:rPr>
          <w:fldChar w:fldCharType="begin"/>
        </w:r>
        <w:r w:rsidRPr="00B0575D">
          <w:rPr>
            <w:sz w:val="24"/>
            <w:szCs w:val="24"/>
          </w:rPr>
          <w:instrText>PAGE   \* MERGEFORMAT</w:instrText>
        </w:r>
        <w:r w:rsidRPr="00B0575D">
          <w:rPr>
            <w:sz w:val="24"/>
            <w:szCs w:val="24"/>
          </w:rPr>
          <w:fldChar w:fldCharType="separate"/>
        </w:r>
        <w:r w:rsidRPr="00B0575D">
          <w:rPr>
            <w:sz w:val="24"/>
            <w:szCs w:val="24"/>
            <w:lang w:val="zh-TW"/>
          </w:rPr>
          <w:t>2</w:t>
        </w:r>
        <w:r w:rsidRPr="00B0575D">
          <w:rPr>
            <w:sz w:val="24"/>
            <w:szCs w:val="24"/>
          </w:rPr>
          <w:fldChar w:fldCharType="end"/>
        </w:r>
      </w:p>
    </w:sdtContent>
  </w:sdt>
  <w:p w14:paraId="1DC1E399" w14:textId="77777777" w:rsidR="00B0575D" w:rsidRDefault="00B057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AFD9" w14:textId="77777777" w:rsidR="001F6DB2" w:rsidRDefault="001F6DB2" w:rsidP="00A15F84">
      <w:r>
        <w:separator/>
      </w:r>
    </w:p>
  </w:footnote>
  <w:footnote w:type="continuationSeparator" w:id="0">
    <w:p w14:paraId="482F4220" w14:textId="77777777" w:rsidR="001F6DB2" w:rsidRDefault="001F6DB2" w:rsidP="00A15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E9"/>
    <w:rsid w:val="00000933"/>
    <w:rsid w:val="000179DD"/>
    <w:rsid w:val="00025F43"/>
    <w:rsid w:val="00033D89"/>
    <w:rsid w:val="00095E40"/>
    <w:rsid w:val="000D5BE9"/>
    <w:rsid w:val="000E3AEC"/>
    <w:rsid w:val="00102F76"/>
    <w:rsid w:val="0014135D"/>
    <w:rsid w:val="001E618B"/>
    <w:rsid w:val="001F3FB5"/>
    <w:rsid w:val="001F6DB2"/>
    <w:rsid w:val="00201273"/>
    <w:rsid w:val="002234CB"/>
    <w:rsid w:val="002A6455"/>
    <w:rsid w:val="002F5D1E"/>
    <w:rsid w:val="00450B30"/>
    <w:rsid w:val="004819CB"/>
    <w:rsid w:val="0055259B"/>
    <w:rsid w:val="00603851"/>
    <w:rsid w:val="00631D7A"/>
    <w:rsid w:val="00681F9E"/>
    <w:rsid w:val="0068641C"/>
    <w:rsid w:val="00687C00"/>
    <w:rsid w:val="0069517A"/>
    <w:rsid w:val="006B01AE"/>
    <w:rsid w:val="006B384D"/>
    <w:rsid w:val="00740274"/>
    <w:rsid w:val="00797B03"/>
    <w:rsid w:val="007A3B2C"/>
    <w:rsid w:val="007A459A"/>
    <w:rsid w:val="007C47E0"/>
    <w:rsid w:val="007F09D4"/>
    <w:rsid w:val="00814B92"/>
    <w:rsid w:val="008A3297"/>
    <w:rsid w:val="008B61E7"/>
    <w:rsid w:val="009B53CF"/>
    <w:rsid w:val="009C3BE6"/>
    <w:rsid w:val="00A15F84"/>
    <w:rsid w:val="00B02031"/>
    <w:rsid w:val="00B0575D"/>
    <w:rsid w:val="00B64BF3"/>
    <w:rsid w:val="00BD7E5B"/>
    <w:rsid w:val="00C502A5"/>
    <w:rsid w:val="00CC4769"/>
    <w:rsid w:val="00CF79E9"/>
    <w:rsid w:val="00D0062E"/>
    <w:rsid w:val="00D07086"/>
    <w:rsid w:val="00D20F8D"/>
    <w:rsid w:val="00D34689"/>
    <w:rsid w:val="00D72D4B"/>
    <w:rsid w:val="00D84242"/>
    <w:rsid w:val="00DF7823"/>
    <w:rsid w:val="00E42751"/>
    <w:rsid w:val="00ED3B2A"/>
    <w:rsid w:val="00EE4942"/>
    <w:rsid w:val="00F12C9C"/>
    <w:rsid w:val="00F81509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A29EC"/>
  <w15:chartTrackingRefBased/>
  <w15:docId w15:val="{00411E8D-7F9F-49BA-A591-C1BE579D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F79E9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CF79E9"/>
    <w:rPr>
      <w:rFonts w:ascii="細明體" w:eastAsia="細明體" w:hAnsi="Courier New" w:cs="Times New Roman"/>
      <w:szCs w:val="20"/>
    </w:rPr>
  </w:style>
  <w:style w:type="table" w:styleId="a5">
    <w:name w:val="Table Grid"/>
    <w:basedOn w:val="a1"/>
    <w:uiPriority w:val="39"/>
    <w:rsid w:val="00CF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1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F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F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鍾韻琳</dc:creator>
  <cp:keywords/>
  <dc:description/>
  <cp:lastModifiedBy>鍾韻琳</cp:lastModifiedBy>
  <cp:revision>3</cp:revision>
  <cp:lastPrinted>2023-05-24T01:40:00Z</cp:lastPrinted>
  <dcterms:created xsi:type="dcterms:W3CDTF">2023-06-29T14:33:00Z</dcterms:created>
  <dcterms:modified xsi:type="dcterms:W3CDTF">2023-06-30T01:03:00Z</dcterms:modified>
</cp:coreProperties>
</file>